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after="280" w:lineRule="auto"/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 obtain a leadership role where I can leverage my extensive project management experience to drive strategic initiatives and foster organizational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spacing w:after="280" w:lineRule="auto"/>
        <w:rPr/>
      </w:pPr>
      <w:r w:rsidDel="00000000" w:rsidR="00000000" w:rsidRPr="00000000">
        <w:rPr>
          <w:rtl w:val="0"/>
        </w:rPr>
        <w:t xml:space="preserve">Professional 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Dynamic project manager with over 10 years of experience in construction, operations, and product development. Recognized for leading cross-functional teams and successfully managing multimillion-dollar projects while optimizing workflows and enhancing stakeholder relationships. Bilingual in Spanish, I hold certifications in restoration and disaster management, showcasing my commitment to professional development and expertise. I am eager to apply my skills to contribute to organizational success in a challenging leadership capacity.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pStyle w:val="Heading2"/>
        <w:spacing w:before="29" w:lineRule="auto"/>
        <w:rPr>
          <w:sz w:val="22"/>
          <w:szCs w:val="22"/>
        </w:rPr>
      </w:pPr>
      <w:bookmarkStart w:colFirst="0" w:colLast="0" w:name="_g8iouqknfw28" w:id="0"/>
      <w:bookmarkEnd w:id="0"/>
      <w:r w:rsidDel="00000000" w:rsidR="00000000" w:rsidRPr="00000000">
        <w:rPr>
          <w:sz w:val="22"/>
          <w:szCs w:val="22"/>
          <w:rtl w:val="0"/>
        </w:rPr>
        <w:t xml:space="preserve">Project Manager | Veteran Alliance Construction Group | Riverside, CA January 2024 – Current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18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Spearhead the planning, execution, and delivery of multiple construction projects, ensuring alignment with budgets, timelines, and quality standards.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Oversee schedules for teams of skilled tradesmen across simultaneous job sites, maintaining high productivity and resource efficiency.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detailed project estimations and prepare comprehensive repair proposals to secure client buy-in.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Mentor and develop high-performing team leaders capable of autonomous decision-making onsite.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Serve as the central liaison with city officials, subcontractors, and vendors to ensure seamless operations.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 cost-saving strategies in material procurement and inventory management, reducing overall expenses.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Draft and manage detailed scopes of work, ensuring clarity and alignment with client expectations.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Successfully manage insurance-related projects, updating progress through web portals and meeting compliance requirements.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beforeAutospacing="0" w:line="276" w:lineRule="auto"/>
        <w:ind w:left="720" w:hanging="360"/>
        <w:rPr>
          <w:rFonts w:ascii="Arial" w:cs="Arial" w:eastAsia="Arial" w:hAnsi="Arial"/>
          <w:smallCaps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Achieved multiple iiCRC certifications, enhancing organizational offerings and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spacing w:before="29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Vehicle Coordinator | K&amp;N Engineering Inc.| Riverside, CA September 2019 – January 2024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4"/>
        </w:numPr>
        <w:shd w:fill="ffffff" w:val="clear"/>
        <w:spacing w:after="0" w:afterAutospacing="0" w:before="1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Directed logistics for vehicle acquisition, ensuring timely support for product research and development.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Maintained tracking systems for aftermarket product development phases, increasing transparency and efficiency.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Partnered with R&amp;D, marketing, and sales teams to establish and achieve objectives for product launches.</w:t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Oversaw the K&amp;N vehicle fleet, ensuring compliance with state and federal regulations (DMV, IFTA, UCR, DOT).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Strengthened vendor partnerships to streamline research and expedite development timelines.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Negotiated favorable terms for vehicle rentals and purchases, reducing costs.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4"/>
        </w:numPr>
        <w:shd w:fill="ffffff" w:val="clear"/>
        <w:spacing w:after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Improved operational workflows to reduce product development timelines.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spacing w:before="29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Product Specialist | K&amp;N Engineering Inc. | Riverside, CA JANUARY 2015 – September 2019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5"/>
        </w:numPr>
        <w:shd w:fill="ffffff" w:val="clear"/>
        <w:spacing w:after="0" w:afterAutospacing="0" w:before="18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Delivered expert technical support and troubleshooting for a wide range of automotive products, enhancing customer satisfaction.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high-volume customer interactions across multiple channels (email, phone, live chat, and face-to-face).</w:t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Designed and conducted comprehensive product training programs for employees, improving team expertise and efficiency.</w:t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Represented the brand at national and international trade shows, showcasing products and building client relationships.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Delivered engaging presentations at sales meetings, addressing technical inquiries and supporting account managers.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5"/>
        </w:numPr>
        <w:shd w:fill="ffffff" w:val="clear"/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Played a key role in customer education and outreach, driving product awareness and increasing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Maintained strict quality assurance standards, ensuring consistency across all customer interactions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v8hfbysh07uf" w:id="1"/>
      <w:bookmarkEnd w:id="1"/>
      <w:r w:rsidDel="00000000" w:rsidR="00000000" w:rsidRPr="00000000">
        <w:rPr>
          <w:rtl w:val="0"/>
        </w:rPr>
        <w:t xml:space="preserve">IICRC, Anaheim CA</w:t>
        <w:tab/>
        <w:t xml:space="preserve">January 2024 – September 2024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Certifications: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Water Damage Restoration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Odor Control Technician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Fire &amp; Smoke Damage Restoration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Applied Structural Drying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pageBreakBefore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Bayside High School, Moreno Valley, CA</w:t>
        <w:tab/>
        <w:t xml:space="preserve">September 2006 – March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President of Associated Student Body (ASB)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Graduated early in 2010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180" w:line="276" w:lineRule="auto"/>
        <w:ind w:left="108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High School Diploma (Achieved)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pageBreakBefore w:val="0"/>
        <w:tabs>
          <w:tab w:val="left" w:leader="none" w:pos="4782"/>
        </w:tabs>
        <w:spacing w:before="0" w:lineRule="auto"/>
        <w:rPr/>
      </w:pPr>
      <w:r w:rsidDel="00000000" w:rsidR="00000000" w:rsidRPr="00000000">
        <w:rPr>
          <w:rtl w:val="0"/>
        </w:rPr>
        <w:t xml:space="preserve">Skills</w:t>
        <w:tab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Leadership &amp; Mentoring: Building high-performing teams and fostering autonomy.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Management: Scheduling, budgeting, and resource coordination.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Operations Management: Material procurement, inventory control, and cost optimization.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Customer Relationship Management: Building trust and delivering exceptional service.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Technical Expertise: Troubleshooting, quality assurance, and product development.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Workflow Optimization: Streamlining processes to improve efficiency and reduce timelines.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Stakeholder Engagement: Liaising with city officials, vendors, and insurance companies.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Regulatory Compliance: DMV, IFTA, UCR, and DOT documentation management.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Sales &amp; Brand Representation: Driving revenue through customer engagement and event representation.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Management: Advanced spreadsheet creation and database updates.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Restoration Expertise: Certified in water, fire, smoke, and odor damage restoration.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0" w:before="18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Bilingual Communication: Fluent in Spanish for diverse team and client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pageBreakBefore w:val="0"/>
        <w:tabs>
          <w:tab w:val="left" w:leader="none" w:pos="4782"/>
        </w:tabs>
        <w:spacing w:before="0" w:lineRule="auto"/>
        <w:rPr/>
      </w:pPr>
      <w:bookmarkStart w:colFirst="0" w:colLast="0" w:name="_30j0zll" w:id="2"/>
      <w:bookmarkEnd w:id="2"/>
      <w:r w:rsidDel="00000000" w:rsidR="00000000" w:rsidRPr="00000000">
        <w:rPr>
          <w:rtl w:val="0"/>
        </w:rPr>
        <w:t xml:space="preserve">Business obtained Reference</w:t>
        <w:tab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0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Available upon request.</w:t>
      </w:r>
      <w:r w:rsidDel="00000000" w:rsidR="00000000" w:rsidRPr="00000000">
        <w:rPr>
          <w:rtl w:val="0"/>
        </w:rPr>
      </w:r>
    </w:p>
    <w:tbl>
      <w:tblPr>
        <w:tblStyle w:val="Table1"/>
        <w:tblW w:w="3900.0" w:type="dxa"/>
        <w:jc w:val="left"/>
        <w:tblLayout w:type="fixed"/>
        <w:tblLook w:val="0400"/>
      </w:tblPr>
      <w:tblGrid>
        <w:gridCol w:w="3900"/>
        <w:tblGridChange w:id="0">
          <w:tblGrid>
            <w:gridCol w:w="3900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Arial" w:cs="Arial" w:eastAsia="Arial" w:hAnsi="Arial"/>
                <w:color w:val="1f497d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Lucida Sans" w:cs="Lucida Sans" w:eastAsia="Lucida Sans" w:hAnsi="Lucida Sans"/>
                <w:b w:val="1"/>
                <w:color w:val="4f6228"/>
                <w:sz w:val="14"/>
                <w:szCs w:val="14"/>
              </w:rPr>
            </w:pPr>
            <w:bookmarkStart w:colFirst="0" w:colLast="0" w:name="_1fob9te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240" w:lineRule="auto"/>
              <w:rPr>
                <w:rFonts w:ascii="Arial" w:cs="Arial" w:eastAsia="Arial" w:hAnsi="Arial"/>
                <w:color w:val="74727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Mar>
              <w:top w:w="75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240" w:lineRule="auto"/>
              <w:rPr>
                <w:rFonts w:ascii="Arial" w:cs="Arial" w:eastAsia="Arial" w:hAnsi="Arial"/>
                <w:color w:val="444444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Mar>
              <w:top w:w="30.0" w:type="dxa"/>
              <w:left w:w="0.0" w:type="dxa"/>
              <w:bottom w:w="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Arial" w:cs="Arial" w:eastAsia="Arial" w:hAnsi="Arial"/>
                <w:color w:val="1f497d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Mar>
              <w:top w:w="75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Arial" w:cs="Arial" w:eastAsia="Arial" w:hAnsi="Arial"/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Mar>
              <w:top w:w="45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color w:val="1f497d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1f497d"/>
          <w:sz w:val="15"/>
          <w:szCs w:val="15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77" w:top="777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Lucida San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200" w:line="276" w:lineRule="auto"/>
      <w:ind w:left="0" w:right="0" w:firstLine="0"/>
      <w:jc w:val="right"/>
      <w:rPr>
        <w:rFonts w:ascii="Century Gothic" w:cs="Century Gothic" w:eastAsia="Century Gothic" w:hAnsi="Century Gothic"/>
        <w:b w:val="1"/>
        <w:i w:val="0"/>
        <w:smallCaps w:val="0"/>
        <w:strike w:val="0"/>
        <w:color w:val="549e3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549e39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200" w:line="276" w:lineRule="auto"/>
      <w:ind w:left="0" w:right="0" w:firstLine="0"/>
      <w:jc w:val="right"/>
      <w:rPr>
        <w:rFonts w:ascii="Century Gothic" w:cs="Century Gothic" w:eastAsia="Century Gothic" w:hAnsi="Century Gothic"/>
        <w:b w:val="1"/>
        <w:i w:val="0"/>
        <w:smallCaps w:val="0"/>
        <w:strike w:val="0"/>
        <w:color w:val="549e3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1f497d"/>
        <w:sz w:val="15"/>
        <w:szCs w:val="15"/>
      </w:rPr>
    </w:pPr>
    <w:r w:rsidDel="00000000" w:rsidR="00000000" w:rsidRPr="00000000">
      <w:rPr>
        <w:rtl w:val="0"/>
      </w:rPr>
    </w:r>
  </w:p>
  <w:tbl>
    <w:tblPr>
      <w:tblStyle w:val="Table2"/>
      <w:tblW w:w="11001.0" w:type="dxa"/>
      <w:jc w:val="left"/>
      <w:tblInd w:w="-115.0" w:type="dxa"/>
      <w:tblLayout w:type="fixed"/>
      <w:tblLook w:val="0400"/>
    </w:tblPr>
    <w:tblGrid>
      <w:gridCol w:w="9276"/>
      <w:gridCol w:w="1725"/>
      <w:tblGridChange w:id="0">
        <w:tblGrid>
          <w:gridCol w:w="9276"/>
          <w:gridCol w:w="1725"/>
        </w:tblGrid>
      </w:tblGridChange>
    </w:tblGrid>
    <w:tr>
      <w:trPr>
        <w:cantSplit w:val="0"/>
        <w:trHeight w:val="1726.0034179687498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4">
          <w:pPr>
            <w:pStyle w:val="Title"/>
            <w:pageBreakBefore w:val="0"/>
            <w:rPr/>
          </w:pPr>
          <w:r w:rsidDel="00000000" w:rsidR="00000000" w:rsidRPr="00000000">
            <w:rPr>
              <w:rtl w:val="0"/>
            </w:rPr>
            <w:t xml:space="preserve">Bryan vallejo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24276 Fitz St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Noto Sans Symbols" w:cs="Noto Sans Symbols" w:eastAsia="Noto Sans Symbols" w:hAnsi="Noto Sans Symbols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❽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Moreno Valley, CA 9255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br w:type="textWrapping"/>
            <w:t xml:space="preserve">Phone: 951-941-9808 </w:t>
          </w:r>
          <w:r w:rsidDel="00000000" w:rsidR="00000000" w:rsidRPr="00000000">
            <w:rPr>
              <w:rFonts w:ascii="Noto Sans Symbols" w:cs="Noto Sans Symbols" w:eastAsia="Noto Sans Symbols" w:hAnsi="Noto Sans Symbols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❽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E-Mail: B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vallejo001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@gmail.com 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100" w:line="276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549e39"/>
              <w:sz w:val="106"/>
              <w:szCs w:val="10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549e39"/>
              <w:sz w:val="106"/>
              <w:szCs w:val="106"/>
              <w:u w:val="none"/>
              <w:shd w:fill="auto" w:val="clear"/>
              <w:vertAlign w:val="baseline"/>
              <w:rtl w:val="0"/>
            </w:rPr>
            <w:t xml:space="preserve">BV</w:t>
          </w:r>
        </w:p>
      </w:tc>
    </w:tr>
  </w:tbl>
  <w:p w:rsidR="00000000" w:rsidDel="00000000" w:rsidP="00000000" w:rsidRDefault="00000000" w:rsidRPr="00000000" w14:paraId="00000047">
    <w:pPr>
      <w:pageBreakBefore w:val="0"/>
      <w:tabs>
        <w:tab w:val="left" w:leader="none" w:pos="3233"/>
      </w:tabs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908.0" w:type="dxa"/>
      <w:jc w:val="left"/>
      <w:tblInd w:w="-115.0" w:type="dxa"/>
      <w:tblLayout w:type="fixed"/>
      <w:tblLook w:val="0400"/>
    </w:tblPr>
    <w:tblGrid>
      <w:gridCol w:w="10189"/>
      <w:gridCol w:w="719"/>
      <w:tblGridChange w:id="0">
        <w:tblGrid>
          <w:gridCol w:w="10189"/>
          <w:gridCol w:w="719"/>
        </w:tblGrid>
      </w:tblGridChange>
    </w:tblGrid>
    <w:tr>
      <w:trPr>
        <w:cantSplit w:val="0"/>
        <w:trHeight w:val="72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9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549e39" w:val="clear"/>
          <w:vAlign w:val="center"/>
        </w:tcPr>
        <w:p w:rsidR="00000000" w:rsidDel="00000000" w:rsidP="00000000" w:rsidRDefault="00000000" w:rsidRPr="00000000" w14:paraId="0000004A">
          <w:pPr>
            <w:pageBreakBefore w:val="0"/>
            <w:jc w:val="center"/>
            <w:rPr>
              <w:color w:val="ffffff"/>
            </w:rPr>
          </w:pPr>
          <w:r w:rsidDel="00000000" w:rsidR="00000000" w:rsidRPr="00000000">
            <w:rPr>
              <w:color w:val="ffffff"/>
              <w:rtl w:val="0"/>
            </w:rPr>
            <w:t xml:space="preserve">BV</w:t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10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US"/>
      </w:rPr>
    </w:rPrDefault>
    <w:pPrDefault>
      <w:pPr>
        <w:spacing w:after="200" w:before="1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color="549e39" w:space="0" w:sz="24" w:val="single"/>
        <w:left w:color="549e39" w:space="0" w:sz="24" w:val="single"/>
        <w:bottom w:color="549e39" w:space="0" w:sz="24" w:val="single"/>
        <w:right w:color="549e39" w:space="0" w:sz="24" w:val="single"/>
      </w:pBdr>
      <w:shd w:fill="549e39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ageBreakBefore w:val="0"/>
      <w:pBdr>
        <w:top w:color="dbefd3" w:space="0" w:sz="24" w:val="single"/>
        <w:left w:color="dbefd3" w:space="0" w:sz="24" w:val="single"/>
        <w:bottom w:color="dbefd3" w:space="0" w:sz="24" w:val="single"/>
        <w:right w:color="dbefd3" w:space="0" w:sz="24" w:val="single"/>
      </w:pBdr>
      <w:shd w:fill="dbefd3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ageBreakBefore w:val="0"/>
      <w:pBdr>
        <w:top w:color="549e39" w:space="2" w:sz="6" w:val="single"/>
      </w:pBdr>
      <w:spacing w:after="0" w:before="300" w:lineRule="auto"/>
    </w:pPr>
    <w:rPr>
      <w:smallCaps w:val="1"/>
      <w:color w:val="294e1c"/>
    </w:rPr>
  </w:style>
  <w:style w:type="paragraph" w:styleId="Heading4">
    <w:name w:val="heading 4"/>
    <w:basedOn w:val="Normal"/>
    <w:next w:val="Normal"/>
    <w:pPr>
      <w:pageBreakBefore w:val="0"/>
      <w:pBdr>
        <w:top w:color="549e39" w:space="2" w:sz="6" w:val="dotted"/>
      </w:pBdr>
      <w:spacing w:after="0" w:before="200" w:lineRule="auto"/>
    </w:pPr>
    <w:rPr>
      <w:smallCaps w:val="1"/>
      <w:color w:val="3e762a"/>
    </w:rPr>
  </w:style>
  <w:style w:type="paragraph" w:styleId="Heading5">
    <w:name w:val="heading 5"/>
    <w:basedOn w:val="Normal"/>
    <w:next w:val="Normal"/>
    <w:pPr>
      <w:pageBreakBefore w:val="0"/>
      <w:pBdr>
        <w:bottom w:color="549e39" w:space="1" w:sz="6" w:val="single"/>
      </w:pBdr>
      <w:spacing w:after="0" w:before="200" w:lineRule="auto"/>
    </w:pPr>
    <w:rPr>
      <w:smallCaps w:val="1"/>
      <w:color w:val="3e762a"/>
    </w:rPr>
  </w:style>
  <w:style w:type="paragraph" w:styleId="Heading6">
    <w:name w:val="heading 6"/>
    <w:basedOn w:val="Normal"/>
    <w:next w:val="Normal"/>
    <w:pPr>
      <w:pageBreakBefore w:val="0"/>
      <w:pBdr>
        <w:bottom w:color="549e39" w:space="1" w:sz="6" w:val="dotted"/>
      </w:pBdr>
      <w:spacing w:after="0" w:before="200" w:lineRule="auto"/>
    </w:pPr>
    <w:rPr>
      <w:smallCaps w:val="1"/>
      <w:color w:val="3e762a"/>
    </w:rPr>
  </w:style>
  <w:style w:type="paragraph" w:styleId="Title">
    <w:name w:val="Title"/>
    <w:basedOn w:val="Normal"/>
    <w:next w:val="Normal"/>
    <w:pPr>
      <w:pageBreakBefore w:val="0"/>
      <w:spacing w:after="0" w:before="0" w:lineRule="auto"/>
    </w:pPr>
    <w:rPr>
      <w:rFonts w:ascii="Century Gothic" w:cs="Century Gothic" w:eastAsia="Century Gothic" w:hAnsi="Century Gothic"/>
      <w:smallCaps w:val="1"/>
      <w:color w:val="549e39"/>
      <w:sz w:val="52"/>
      <w:szCs w:val="52"/>
    </w:rPr>
  </w:style>
  <w:style w:type="paragraph" w:styleId="Subtitle">
    <w:name w:val="Subtitle"/>
    <w:basedOn w:val="Normal"/>
    <w:next w:val="Normal"/>
    <w:pPr>
      <w:pageBreakBefore w:val="0"/>
      <w:spacing w:after="500" w:before="0" w:line="240" w:lineRule="auto"/>
    </w:pPr>
    <w:rPr>
      <w:smallCaps w:val="1"/>
      <w:color w:val="595959"/>
      <w:sz w:val="21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